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5A" w:rsidRPr="0084615A" w:rsidRDefault="0084615A" w:rsidP="0084615A">
      <w:pPr>
        <w:shd w:val="clear" w:color="auto" w:fill="FFFFFF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Dear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Researchers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, </w:t>
      </w:r>
    </w:p>
    <w:p w:rsidR="0084615A" w:rsidRPr="0084615A" w:rsidRDefault="0084615A" w:rsidP="0084615A">
      <w:pPr>
        <w:shd w:val="clear" w:color="auto" w:fill="FFFFFF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We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are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happy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to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announce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that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;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between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dates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of 18-19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November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2021 </w:t>
      </w:r>
      <w:r w:rsidRPr="0084615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tr-TR"/>
        </w:rPr>
        <w:t xml:space="preserve">"3rd International </w:t>
      </w:r>
      <w:proofErr w:type="spellStart"/>
      <w:r w:rsidRPr="0084615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tr-TR"/>
        </w:rPr>
        <w:t>Symposium</w:t>
      </w:r>
      <w:proofErr w:type="spellEnd"/>
      <w:r w:rsidRPr="0084615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tr-TR"/>
        </w:rPr>
        <w:t xml:space="preserve"> of Design </w:t>
      </w:r>
      <w:proofErr w:type="spellStart"/>
      <w:r w:rsidRPr="0084615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tr-TR"/>
        </w:rPr>
        <w:t>for</w:t>
      </w:r>
      <w:proofErr w:type="spellEnd"/>
      <w:r w:rsidRPr="0084615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tr-TR"/>
        </w:rPr>
        <w:t>Living</w:t>
      </w:r>
      <w:proofErr w:type="spellEnd"/>
      <w:r w:rsidRPr="0084615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tr-TR"/>
        </w:rPr>
        <w:t>with</w:t>
      </w:r>
      <w:proofErr w:type="spellEnd"/>
      <w:r w:rsidRPr="0084615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tr-TR"/>
        </w:rPr>
        <w:t>Water</w:t>
      </w:r>
      <w:proofErr w:type="spellEnd"/>
      <w:r w:rsidRPr="0084615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tr-TR"/>
        </w:rPr>
        <w:t>"</w:t>
      </w:r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(ISDLW-III) 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hosted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by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Beykent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University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Faculty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of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Engineering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and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Architecture,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Department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of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Interior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Architecture,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will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be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held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gram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online</w:t>
      </w:r>
      <w:proofErr w:type="gram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.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Within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scope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of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this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symposium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relationship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between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water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and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design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will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be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discussed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in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process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from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hunting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societies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to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Society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gram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5.0</w:t>
      </w:r>
      <w:proofErr w:type="gram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. Design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solutions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that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are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thought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together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with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water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will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be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discussed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under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themes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of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sustainability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yacht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design</w:t>
      </w:r>
      <w:bookmarkStart w:id="0" w:name="_GoBack"/>
      <w:bookmarkEnd w:id="0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climate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change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marine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engineering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culture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and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heritage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floating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architecture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future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approaches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and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urban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transformations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. As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designers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and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engineers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of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“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climate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change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generation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” it is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our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responsibility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to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contribute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to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design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field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by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looking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at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past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present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and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future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through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relationship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of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water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and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life. </w:t>
      </w:r>
    </w:p>
    <w:p w:rsidR="0084615A" w:rsidRPr="0084615A" w:rsidRDefault="0084615A" w:rsidP="0084615A">
      <w:pPr>
        <w:shd w:val="clear" w:color="auto" w:fill="FFFFFF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We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invite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you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on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behalf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of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our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organizing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committee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to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this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symposium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which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will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bring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together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important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researchers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academics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and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professionals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in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their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field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. </w:t>
      </w:r>
    </w:p>
    <w:p w:rsidR="0084615A" w:rsidRPr="0084615A" w:rsidRDefault="0084615A" w:rsidP="0084615A">
      <w:pPr>
        <w:shd w:val="clear" w:color="auto" w:fill="FFFFFF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  </w:t>
      </w:r>
    </w:p>
    <w:p w:rsidR="0084615A" w:rsidRPr="0084615A" w:rsidRDefault="0084615A" w:rsidP="0084615A">
      <w:pPr>
        <w:shd w:val="clear" w:color="auto" w:fill="FFFFFF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Associate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Professor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İnanç Işıl Yıldırım, </w:t>
      </w:r>
    </w:p>
    <w:p w:rsidR="0084615A" w:rsidRPr="0084615A" w:rsidRDefault="0084615A" w:rsidP="0084615A">
      <w:pPr>
        <w:shd w:val="clear" w:color="auto" w:fill="FFFFFF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Symposium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Chair </w:t>
      </w:r>
    </w:p>
    <w:p w:rsidR="0084615A" w:rsidRPr="0084615A" w:rsidRDefault="0084615A" w:rsidP="0084615A">
      <w:pPr>
        <w:shd w:val="clear" w:color="auto" w:fill="FFFFFF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Beykent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University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Faculty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of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Engineering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and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Architecture, </w:t>
      </w:r>
    </w:p>
    <w:p w:rsidR="0084615A" w:rsidRPr="0084615A" w:rsidRDefault="0084615A" w:rsidP="0084615A">
      <w:pPr>
        <w:shd w:val="clear" w:color="auto" w:fill="FFFFFF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Head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of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Department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of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Interior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Architecture (EN) </w:t>
      </w:r>
    </w:p>
    <w:p w:rsidR="0084615A" w:rsidRPr="0084615A" w:rsidRDefault="0084615A" w:rsidP="0084615A">
      <w:pPr>
        <w:shd w:val="clear" w:color="auto" w:fill="FFFFFF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  </w:t>
      </w:r>
    </w:p>
    <w:p w:rsidR="0084615A" w:rsidRPr="0084615A" w:rsidRDefault="0084615A" w:rsidP="0084615A">
      <w:pPr>
        <w:shd w:val="clear" w:color="auto" w:fill="FFFFFF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For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more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information</w:t>
      </w:r>
      <w:proofErr w:type="spellEnd"/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: www.isdlw.org </w:t>
      </w:r>
    </w:p>
    <w:p w:rsidR="0084615A" w:rsidRPr="0084615A" w:rsidRDefault="0084615A" w:rsidP="0084615A">
      <w:pPr>
        <w:shd w:val="clear" w:color="auto" w:fill="FFFFFF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84615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  </w:t>
      </w:r>
    </w:p>
    <w:p w:rsidR="0084615A" w:rsidRPr="0084615A" w:rsidRDefault="0084615A" w:rsidP="0084615A">
      <w:pPr>
        <w:shd w:val="clear" w:color="auto" w:fill="FFFFFF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84615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tr-TR"/>
        </w:rPr>
        <w:t>IMPORTANT DATES AND NOTES: </w:t>
      </w:r>
    </w:p>
    <w:p w:rsidR="0084615A" w:rsidRPr="0084615A" w:rsidRDefault="0084615A" w:rsidP="0084615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Deadline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for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submission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abstracts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(350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words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):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September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3, 2021</w:t>
      </w:r>
      <w:r w:rsidRPr="0084615A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84615A" w:rsidRPr="0084615A" w:rsidRDefault="0084615A" w:rsidP="0084615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Deadline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for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full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paper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submission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: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September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24, 2021</w:t>
      </w:r>
      <w:r w:rsidRPr="0084615A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84615A" w:rsidRPr="0084615A" w:rsidRDefault="0084615A" w:rsidP="0084615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Symposium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languages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​​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are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Turkish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English.</w:t>
      </w:r>
      <w:r w:rsidRPr="0084615A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84615A" w:rsidRPr="0084615A" w:rsidRDefault="0084615A" w:rsidP="0084615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Abstract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/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full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text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applications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will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be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send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to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: </w:t>
      </w:r>
      <w:hyperlink r:id="rId5" w:tgtFrame="_blank" w:history="1">
        <w:r w:rsidRPr="0084615A">
          <w:rPr>
            <w:rFonts w:ascii="Calibri" w:eastAsia="Times New Roman" w:hAnsi="Calibri" w:cs="Calibri"/>
            <w:color w:val="954F72"/>
            <w:sz w:val="24"/>
            <w:szCs w:val="24"/>
            <w:u w:val="single"/>
            <w:bdr w:val="none" w:sz="0" w:space="0" w:color="auto" w:frame="1"/>
            <w:lang w:eastAsia="tr-TR"/>
          </w:rPr>
          <w:t>info@isdlw.org</w:t>
        </w:r>
      </w:hyperlink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.</w:t>
      </w:r>
      <w:r w:rsidRPr="0084615A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84615A" w:rsidRPr="0084615A" w:rsidRDefault="0084615A" w:rsidP="0084615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Symposium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proceedings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book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: </w:t>
      </w:r>
      <w:hyperlink r:id="rId6" w:tgtFrame="_blank" w:history="1">
        <w:r w:rsidRPr="0084615A">
          <w:rPr>
            <w:rFonts w:ascii="Calibri" w:eastAsia="Times New Roman" w:hAnsi="Calibri" w:cs="Calibri"/>
            <w:color w:val="954F72"/>
            <w:sz w:val="24"/>
            <w:szCs w:val="24"/>
            <w:u w:val="single"/>
            <w:bdr w:val="none" w:sz="0" w:space="0" w:color="auto" w:frame="1"/>
            <w:lang w:eastAsia="tr-TR"/>
          </w:rPr>
          <w:t>https://isdlw.org/publications</w:t>
        </w:r>
      </w:hyperlink>
      <w:r w:rsidRPr="0084615A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84615A" w:rsidRPr="0084615A" w:rsidRDefault="0084615A" w:rsidP="0084615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Our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symposium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fulfills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Higher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Education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Upgrade </w:t>
      </w:r>
      <w:proofErr w:type="spellStart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criterias</w:t>
      </w:r>
      <w:proofErr w:type="spellEnd"/>
      <w:r w:rsidRPr="0084615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.</w:t>
      </w:r>
      <w:r w:rsidRPr="0084615A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84615A" w:rsidRPr="0084615A" w:rsidRDefault="0084615A" w:rsidP="008461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C35971" w:rsidRDefault="0084615A"/>
    <w:sectPr w:rsidR="00C35971" w:rsidSect="00D1413F">
      <w:type w:val="continuous"/>
      <w:pgSz w:w="11907" w:h="16840" w:code="9"/>
      <w:pgMar w:top="1701" w:right="1701" w:bottom="1701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24FC"/>
    <w:multiLevelType w:val="multilevel"/>
    <w:tmpl w:val="3CD8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5A"/>
    <w:rsid w:val="005A5DA2"/>
    <w:rsid w:val="005A700D"/>
    <w:rsid w:val="0084615A"/>
    <w:rsid w:val="00917787"/>
    <w:rsid w:val="00D1413F"/>
    <w:rsid w:val="00E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8E159-2697-4250-9D8E-FE2F76C3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46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dlw.org/publications" TargetMode="External"/><Relationship Id="rId5" Type="http://schemas.openxmlformats.org/officeDocument/2006/relationships/hyperlink" Target="mailto:info@isdl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İnanç Işıl YILDIRIM</dc:creator>
  <cp:keywords/>
  <dc:description/>
  <cp:lastModifiedBy>İnanç Işıl YILDIRIM</cp:lastModifiedBy>
  <cp:revision>1</cp:revision>
  <dcterms:created xsi:type="dcterms:W3CDTF">2021-08-18T13:32:00Z</dcterms:created>
  <dcterms:modified xsi:type="dcterms:W3CDTF">2021-08-18T13:32:00Z</dcterms:modified>
</cp:coreProperties>
</file>